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keepNext/>
        <w:keepLines/>
        <w:spacing w:before="400" w:after="200"/>
        <w:outlineLvl w:val="0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Sharp Tech: OpenAI's Code Red and the AI Race</w:t>
      </w:r>
    </w:p>
    <w:p>
      <w:pPr>
        <w:spacing w:before="120" w:after="12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Andrew Sharp and Ben Thompson discuss the recent "Code Red" announcement from OpenAI and its implications for the AI market, particularly in relation to competition from Google.</w:t>
      </w: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The Angst of OpenAI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Thompson expresses his prolonged "angst" regarding OpenAI's strategic direction.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The discussion touches on a previous podcast where Ben was optimistic about a sports figure's team, only for news to break that he might leave.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Andrew Sharp jokes about the Washington Wizards' prospects for winning a championship.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OpenAI's Strategic Dilemma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argues that OpenAI should have focused on the consumer space and launched ads much earlier.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He believes the API business has been a distraction from establishing dominance in the consumer market.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The long-term advantage lies in being an aggregator with a strong revenue flywheel, not just having users.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The Power of Advertising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uses Google Search and Meta (Facebook/Instagram) as examples of successful advertising models.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He explains that ads make products more accessible and that users often delay paying for premium services.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The advertising model aligns incentives by making advertisers bear price increases, not users.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Competition and Google's Play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Andrew notes that ChatGPT is the one AI product everyone he knows uses and likes.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However, he acknowledges that the "Code Red" impulse is likely healthy for OpenAI.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believes that if OpenAI were to introduce ads, it would diminish the user experience at a critical time.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The "Inshittification" Concern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is frustrated by what he perceives as OpenAI becoming sloppy, citing the non-functional "share chat" feature on desktop.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He argues that a strong user experience is crucial, especially when competitors like Google are offering free alternatives.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The "inshittification" of YouTube, where buffering frequently interrupted videos, is used as a parallel to potential issues with AI services.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Google's Market Dominance Strategy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A listener's question suggests Google could leverage a negative reaction to OpenAI's ad rollout to attract users.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agrees that Google's strategy of subsidizing AI with search revenue could drive out competition.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He compares this to Google's past dominance in search, smartphones, and browsers despite not being first to market.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The Future of AI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Ben expresses regret for not being more forceful in advocating for OpenAI to implement ads earlier.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He highlights the importance of a sustainable revenue model to maintain leadership in the AI space.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Despite the current "angst," Ben believes the game is not over and OpenAI still has opportunities.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Listener Feedback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Paul questions the timing of OpenAI's ad integration, comparing it to YouTube and Facebook's mature market positions.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Aaron suggests Google might use OpenAI's ad rollout as an opportunity to capture its user base.</w:t>
      </w:r>
    </w:p>
    <w:p>
      <w:pPr>
        <w:spacing w:before="0" w:after="120"/>
      </w:pPr>
    </w:p>
    <w:p>
      <w:pPr>
        <w:pBdr>
          <w:bottom w:val="single" w:color="888888" w:sz="6"/>
        </w:pBdr>
        <w:spacing w:before="240" w:after="240"/>
        <w:jc w:val="center"/>
      </w:pPr>
    </w:p>
    <w:p>
      <w:pPr>
        <w:pStyle w:val="Heading2"/>
        <w:keepNext/>
        <w:keepLines/>
        <w:spacing w:before="320" w:after="160"/>
        <w:outlineLvl w:val="1"/>
      </w:pPr>
      <w:r>
        <w:rPr>
          <w:b/>
          <w:bCs/>
          <w:color w:val="333333"/>
          <w:sz w:val="24"/>
          <w:szCs w:val="24"/>
          <w:rFonts w:ascii="Calibri" w:cs="Calibri" w:eastAsia="Calibri" w:hAnsi="Calibri"/>
        </w:rPr>
        <w:t xml:space="preserve">Subscription Information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Andrew reminds listeners that the free preview is ending and encourages them to subscribe for more content.</w:t>
      </w:r>
    </w:p>
    <w:p>
      <w:pPr>
        <w:pStyle w:val="ListParagraph"/>
        <w:numPr>
          <w:ilvl w:val="0"/>
          <w:numId w:val="1"/>
        </w:numPr>
        <w:spacing w:before="60" w:after="60"/>
        <w:ind w:left="720" w:hanging="360"/>
      </w:pPr>
      <w:r>
        <w:rPr>
          <w:b w:val="false"/>
          <w:bCs w:val="false"/>
          <w:color w:val="333333"/>
          <w:sz w:val="24"/>
          <w:szCs w:val="24"/>
          <w:rFonts w:ascii="Calibri" w:cs="Calibri" w:eastAsia="Calibri" w:hAnsi="Calibri"/>
        </w:rPr>
        <w:t xml:space="preserve">Subscription options and feedback channels are provided.</w:t>
      </w:r>
    </w:p>
    <w:p>
      <w:pPr>
        <w:spacing w:before="0" w:after="120"/>
      </w:pP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00"/>
      <w:jc w:val="center"/>
    </w:pPr>
    <w:r>
      <w:rPr>
        <w:b w:val="false"/>
        <w:bCs w:val="false"/>
        <w:color w:val="777777"/>
        <w:sz w:val="16"/>
        <w:szCs w:val="16"/>
        <w:rFonts w:ascii="Calibri" w:cs="Calibri" w:eastAsia="Calibri" w:hAnsi="Calibri"/>
      </w:rPr>
      <w:t xml:space="preserve">Page </w:t>
    </w:r>
    <w:r>
      <w:rPr>
        <w:b w:val="false"/>
        <w:bCs w:val="false"/>
        <w:color w:val="777777"/>
        <w:sz w:val="16"/>
        <w:szCs w:val="16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b w:val="false"/>
        <w:bCs w:val="false"/>
        <w:color w:val="777777"/>
        <w:sz w:val="16"/>
        <w:szCs w:val="16"/>
        <w:rFonts w:ascii="Calibri" w:cs="Calibri" w:eastAsia="Calibri" w:hAnsi="Calibri"/>
      </w:rPr>
      <w:t xml:space="preserve"> of </w:t>
    </w:r>
    <w:r>
      <w:rPr>
        <w:b w:val="false"/>
        <w:bCs w:val="false"/>
        <w:color w:val="777777"/>
        <w:sz w:val="16"/>
        <w:szCs w:val="16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00"/>
      <w:jc w:val="right"/>
    </w:pPr>
    <w:r>
      <w:rPr>
        <w:b w:val="false"/>
        <w:bCs w:val="false"/>
        <w:color w:val="777777"/>
        <w:sz w:val="16"/>
        <w:szCs w:val="16"/>
        <w:rFonts w:ascii="Calibri" w:cs="Calibri" w:eastAsia="Calibri" w:hAnsi="Calibri"/>
      </w:rPr>
      <w:t xml:space="preserve">50 dot points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  <w:lvl w:ilvl="2" w15:tentative="1">
      <w:start w:val="1"/>
      <w:numFmt w:val="lowerRoman"/>
      <w:lvlText w:val="%3."/>
      <w:lvlJc w:val="start"/>
      <w:pPr>
        <w:ind w:left="2160" w:hanging="360"/>
      </w:pPr>
    </w:lvl>
    <w:lvl w:ilvl="3" w15:tentative="1">
      <w:start w:val="1"/>
      <w:numFmt w:val="upperLetter"/>
      <w:lvlText w:val="%4."/>
      <w:lvlJc w:val="start"/>
      <w:pPr>
        <w:ind w:left="28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360" w:before="0" w:after="120"/>
      <w:jc w:val="left"/>
    </w:pPr>
    <w:rPr>
      <w:b w:val="false"/>
      <w:bCs w:val="false"/>
      <w:color w:val="333333"/>
      <w:sz w:val="24"/>
      <w:szCs w:val="24"/>
      <w:rFonts w:ascii="Calibri" w:cs="Calibri" w:eastAsia="Calibri" w:hAnsi="Calibri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200"/>
      <w:outlineLvl w:val="0"/>
    </w:pPr>
    <w:rPr>
      <w:b/>
      <w:bCs/>
      <w:color w:val="222222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keepNext/>
      <w:keepLines/>
      <w:spacing w:before="320" w:after="160"/>
      <w:outlineLvl w:val="1"/>
    </w:pPr>
    <w:rPr>
      <w:b/>
      <w:bCs/>
      <w:color w:val="222222"/>
      <w:sz w:val="28"/>
      <w:szCs w:val="28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140"/>
      <w:outlineLvl w:val="2"/>
    </w:pPr>
    <w:rPr>
      <w:b/>
      <w:bCs/>
      <w:color w:val="222222"/>
      <w:sz w:val="26"/>
      <w:szCs w:val="26"/>
      <w:rFonts w:ascii="Calibri" w:cs="Calibri" w:eastAsia="Calibri" w:hAnsi="Calibri"/>
    </w:rPr>
  </w:style>
  <w:style w:type="paragraph" w:styleId="TableGrid">
    <w:name w:val="Table Grid"/>
    <w:basedOn w:val="Normal"/>
    <w:qFormat/>
    <w:pPr>
      <w:spacing w:line="240" w:before="0" w:after="0"/>
      <w:jc w:val="left"/>
    </w:pPr>
    <w:rPr>
      <w:color w:val="333333"/>
      <w:sz w:val="22"/>
      <w:szCs w:val="22"/>
      <w:rFonts w:ascii="Calibri" w:cs="Calibri" w:eastAsia="Calibri" w:hAnsi="Calibri"/>
    </w:rPr>
  </w:style>
  <w:style w:type="paragraph" w:styleId="TableHeader">
    <w:name w:val="Table Header"/>
    <w:basedOn w:val="TableGrid"/>
    <w:qFormat/>
    <w:pPr>
      <w:spacing w:line="240" w:before="0" w:after="0"/>
      <w:jc w:val="center"/>
    </w:pPr>
    <w:rPr>
      <w:b/>
      <w:bCs/>
      <w:color w:val="222222"/>
      <w:sz w:val="22"/>
      <w:szCs w:val="22"/>
      <w:rFonts w:ascii="Calibri" w:cs="Calibri" w:eastAsia="Calibri" w:hAnsi="Calibri"/>
    </w:rPr>
  </w:style>
  <w:style w:type="paragraph" w:styleId="Quote">
    <w:name w:val="Quote"/>
    <w:basedOn w:val="Normal"/>
    <w:next w:val="Normal"/>
    <w:qFormat/>
    <w:pPr>
      <w:spacing w:before="200" w:after="200"/>
      <w:ind w:left="720"/>
    </w:pPr>
    <w:rPr>
      <w:i/>
      <w:iCs/>
      <w:color w:val="404040"/>
    </w:rPr>
  </w:style>
  <w:style w:type="paragraph" w:styleId="CodeBlock">
    <w:name w:val="Code Block"/>
    <w:basedOn w:val="Normal"/>
    <w:next w:val="Normal"/>
    <w:qFormat/>
    <w:pPr>
      <w:spacing w:before="200" w:after="200"/>
      <w:ind w:left="720"/>
    </w:pPr>
    <w:rPr>
      <w:color w:val="333333"/>
      <w:sz w:val="20"/>
      <w:szCs w:val="20"/>
      <w:rFonts w:ascii="Consolas" w:cs="Consolas" w:eastAsia="Consolas" w:hAnsi="Consolas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2026-05-13T08:55:30.385Z</dcterms:created>
  <dcterms:modified xsi:type="dcterms:W3CDTF">2026-05-13T08:55:30.385Z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